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673" w:rsidRDefault="007272F1" w:rsidP="0016151B">
      <w:pPr>
        <w:jc w:val="both"/>
        <w:rPr>
          <w:b/>
          <w:sz w:val="24"/>
          <w:szCs w:val="24"/>
        </w:rPr>
      </w:pPr>
      <w:r w:rsidRPr="007272F1">
        <w:rPr>
          <w:b/>
          <w:sz w:val="24"/>
          <w:szCs w:val="24"/>
        </w:rPr>
        <w:t>Gibt es ein neues nukleares Wettrüsten?</w:t>
      </w:r>
      <w:r>
        <w:rPr>
          <w:b/>
          <w:sz w:val="24"/>
          <w:szCs w:val="24"/>
        </w:rPr>
        <w:t>?</w:t>
      </w:r>
    </w:p>
    <w:p w:rsidR="007272F1" w:rsidRDefault="00ED3B67" w:rsidP="001615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Bad Neuenahr. </w:t>
      </w:r>
      <w:r w:rsidR="007272F1" w:rsidRPr="007272F1">
        <w:rPr>
          <w:sz w:val="24"/>
          <w:szCs w:val="24"/>
        </w:rPr>
        <w:t xml:space="preserve">Die </w:t>
      </w:r>
      <w:r w:rsidR="007272F1">
        <w:rPr>
          <w:sz w:val="24"/>
          <w:szCs w:val="24"/>
        </w:rPr>
        <w:t>Sektion Bad Neuenahr-Ahrweiler der Gesellschaft für Sicherheitspolitik</w:t>
      </w:r>
      <w:r w:rsidR="00285013">
        <w:rPr>
          <w:sz w:val="24"/>
          <w:szCs w:val="24"/>
        </w:rPr>
        <w:t xml:space="preserve"> (</w:t>
      </w:r>
      <w:proofErr w:type="gramStart"/>
      <w:r w:rsidR="00285013">
        <w:rPr>
          <w:sz w:val="24"/>
          <w:szCs w:val="24"/>
        </w:rPr>
        <w:t xml:space="preserve">GSP) </w:t>
      </w:r>
      <w:r w:rsidR="007272F1">
        <w:rPr>
          <w:sz w:val="24"/>
          <w:szCs w:val="24"/>
        </w:rPr>
        <w:t xml:space="preserve"> ist</w:t>
      </w:r>
      <w:proofErr w:type="gramEnd"/>
      <w:r w:rsidR="007272F1">
        <w:rPr>
          <w:sz w:val="24"/>
          <w:szCs w:val="24"/>
        </w:rPr>
        <w:t xml:space="preserve"> dieser Frage am Montag</w:t>
      </w:r>
      <w:r w:rsidR="00285013">
        <w:rPr>
          <w:sz w:val="24"/>
          <w:szCs w:val="24"/>
        </w:rPr>
        <w:t>, 07. September 2020,</w:t>
      </w:r>
      <w:r w:rsidR="007272F1">
        <w:rPr>
          <w:sz w:val="24"/>
          <w:szCs w:val="24"/>
        </w:rPr>
        <w:t xml:space="preserve"> nachgegangen. Erstmals hat die Sektion ihre bekannten Vortrags- und Diskussionsabende in Form einer hybriden Veranstaltung durchgeführt. Dabei konnten im Hotel Krupp </w:t>
      </w:r>
      <w:r w:rsidR="00A92553">
        <w:rPr>
          <w:sz w:val="24"/>
          <w:szCs w:val="24"/>
        </w:rPr>
        <w:t xml:space="preserve">nur </w:t>
      </w:r>
      <w:r w:rsidR="000C556F">
        <w:rPr>
          <w:sz w:val="24"/>
          <w:szCs w:val="24"/>
        </w:rPr>
        <w:t xml:space="preserve">ein Teil der Interessierten dem Vortrag vor Ort folgen (Einschränkungen aufgrund der Corona-Pandemie), während ein noch größerer Teil </w:t>
      </w:r>
      <w:r w:rsidR="00385813">
        <w:rPr>
          <w:sz w:val="24"/>
          <w:szCs w:val="24"/>
        </w:rPr>
        <w:t xml:space="preserve">aus der gesamten Republik </w:t>
      </w:r>
      <w:r w:rsidR="000C556F">
        <w:rPr>
          <w:sz w:val="24"/>
          <w:szCs w:val="24"/>
        </w:rPr>
        <w:t xml:space="preserve">dem Vortrag und der Diskussion über das Internet von zu Hause folgen konnten. </w:t>
      </w:r>
      <w:r w:rsidR="007272F1">
        <w:rPr>
          <w:sz w:val="24"/>
          <w:szCs w:val="24"/>
        </w:rPr>
        <w:t xml:space="preserve"> </w:t>
      </w:r>
    </w:p>
    <w:p w:rsidR="007506B4" w:rsidRDefault="000C556F" w:rsidP="001615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Vortragender des Abends war Herr Prof. Dr.  Götz Neuneck. Er ist Physiker und lehrt an der Universität Hamburg. </w:t>
      </w:r>
      <w:r w:rsidR="00533FB9">
        <w:rPr>
          <w:sz w:val="24"/>
          <w:szCs w:val="24"/>
        </w:rPr>
        <w:t xml:space="preserve">Zunächst langjähriger </w:t>
      </w:r>
      <w:proofErr w:type="gramStart"/>
      <w:r w:rsidR="00533FB9">
        <w:rPr>
          <w:sz w:val="24"/>
          <w:szCs w:val="24"/>
        </w:rPr>
        <w:t>wiss</w:t>
      </w:r>
      <w:r w:rsidR="00285013">
        <w:rPr>
          <w:sz w:val="24"/>
          <w:szCs w:val="24"/>
        </w:rPr>
        <w:t xml:space="preserve">enschaftlicher </w:t>
      </w:r>
      <w:r w:rsidR="00533FB9">
        <w:rPr>
          <w:sz w:val="24"/>
          <w:szCs w:val="24"/>
        </w:rPr>
        <w:t xml:space="preserve"> Mitarbeiter</w:t>
      </w:r>
      <w:proofErr w:type="gramEnd"/>
      <w:r w:rsidR="00533FB9">
        <w:rPr>
          <w:sz w:val="24"/>
          <w:szCs w:val="24"/>
        </w:rPr>
        <w:t xml:space="preserve"> unter Egon Bahr am Institut für Friedensforschung und Sicherheitspolitik an der Universität Hamburg</w:t>
      </w:r>
      <w:r w:rsidR="00A82CD3">
        <w:rPr>
          <w:sz w:val="24"/>
          <w:szCs w:val="24"/>
        </w:rPr>
        <w:t>,</w:t>
      </w:r>
      <w:r w:rsidR="00533FB9">
        <w:rPr>
          <w:sz w:val="24"/>
          <w:szCs w:val="24"/>
        </w:rPr>
        <w:t xml:space="preserve"> war er dann dort von 2008 bis 2019 der stellvertretende wissenschaftliche Direktor. Im Rahmen der von diesem Institut gegründeten Deep Cuts </w:t>
      </w:r>
      <w:proofErr w:type="spellStart"/>
      <w:r w:rsidR="00533FB9">
        <w:rPr>
          <w:sz w:val="24"/>
          <w:szCs w:val="24"/>
        </w:rPr>
        <w:t>Commission</w:t>
      </w:r>
      <w:proofErr w:type="spellEnd"/>
      <w:r w:rsidR="00A82CD3">
        <w:rPr>
          <w:sz w:val="24"/>
          <w:szCs w:val="24"/>
        </w:rPr>
        <w:t xml:space="preserve">, </w:t>
      </w:r>
      <w:proofErr w:type="gramStart"/>
      <w:r w:rsidR="00A82CD3">
        <w:rPr>
          <w:sz w:val="24"/>
          <w:szCs w:val="24"/>
        </w:rPr>
        <w:t>die russische, amerikanische und deutsche Diplomaten</w:t>
      </w:r>
      <w:proofErr w:type="gramEnd"/>
      <w:r w:rsidR="00A82CD3">
        <w:rPr>
          <w:sz w:val="24"/>
          <w:szCs w:val="24"/>
        </w:rPr>
        <w:t xml:space="preserve">, Experten und Wissenschaftler zusammenbringt, ist er an internationalen Treffen zur Konfliktverhütung, Krisenmanagement und Abrüstung beteiligt. </w:t>
      </w:r>
      <w:r w:rsidR="00A718F4">
        <w:rPr>
          <w:sz w:val="24"/>
          <w:szCs w:val="24"/>
        </w:rPr>
        <w:t xml:space="preserve">In seinem Vortrag </w:t>
      </w:r>
      <w:r w:rsidR="00A82CD3" w:rsidRPr="00A718F4">
        <w:rPr>
          <w:b/>
          <w:sz w:val="24"/>
          <w:szCs w:val="24"/>
        </w:rPr>
        <w:t>„Die nukleare Frage und der Machtwettbewerb</w:t>
      </w:r>
      <w:r w:rsidR="00A718F4" w:rsidRPr="00A718F4">
        <w:rPr>
          <w:b/>
          <w:sz w:val="24"/>
          <w:szCs w:val="24"/>
        </w:rPr>
        <w:t>“</w:t>
      </w:r>
      <w:r w:rsidR="00A82CD3">
        <w:rPr>
          <w:sz w:val="24"/>
          <w:szCs w:val="24"/>
        </w:rPr>
        <w:t xml:space="preserve"> </w:t>
      </w:r>
      <w:r w:rsidR="00A718F4">
        <w:rPr>
          <w:sz w:val="24"/>
          <w:szCs w:val="24"/>
        </w:rPr>
        <w:t xml:space="preserve">beschrieb </w:t>
      </w:r>
      <w:r w:rsidR="00ED3B67">
        <w:rPr>
          <w:sz w:val="24"/>
          <w:szCs w:val="24"/>
        </w:rPr>
        <w:t xml:space="preserve">Prof. </w:t>
      </w:r>
      <w:r w:rsidR="00A718F4">
        <w:rPr>
          <w:sz w:val="24"/>
          <w:szCs w:val="24"/>
        </w:rPr>
        <w:t>Dr. Neuneck zunächst den Wandel der Weltordnung</w:t>
      </w:r>
      <w:r w:rsidR="005448F0">
        <w:rPr>
          <w:sz w:val="24"/>
          <w:szCs w:val="24"/>
        </w:rPr>
        <w:t xml:space="preserve">. </w:t>
      </w:r>
      <w:r w:rsidR="00A718F4">
        <w:rPr>
          <w:sz w:val="24"/>
          <w:szCs w:val="24"/>
        </w:rPr>
        <w:t xml:space="preserve"> </w:t>
      </w:r>
      <w:r w:rsidR="005448F0">
        <w:rPr>
          <w:sz w:val="24"/>
          <w:szCs w:val="24"/>
        </w:rPr>
        <w:t xml:space="preserve">Kennzeichen hierfür </w:t>
      </w:r>
      <w:proofErr w:type="gramStart"/>
      <w:r w:rsidR="005448F0">
        <w:rPr>
          <w:sz w:val="24"/>
          <w:szCs w:val="24"/>
        </w:rPr>
        <w:t>sind</w:t>
      </w:r>
      <w:proofErr w:type="gramEnd"/>
      <w:r w:rsidR="005448F0">
        <w:rPr>
          <w:sz w:val="24"/>
          <w:szCs w:val="24"/>
        </w:rPr>
        <w:t xml:space="preserve"> u.a. der Machtwettbewerb zwischen den USA, Russland und China, die Erosion internationaler Institutionen (z. B. UN, WHO), d</w:t>
      </w:r>
      <w:r w:rsidR="00A92553">
        <w:rPr>
          <w:sz w:val="24"/>
          <w:szCs w:val="24"/>
        </w:rPr>
        <w:t>ie</w:t>
      </w:r>
      <w:r w:rsidR="005448F0">
        <w:rPr>
          <w:sz w:val="24"/>
          <w:szCs w:val="24"/>
        </w:rPr>
        <w:t xml:space="preserve"> Demontage bisheriger Verträge zur Rüstungskontrolle und Abrüstung sowie der entstandene populistische Nationalismus in einigen Ländern</w:t>
      </w:r>
      <w:r w:rsidR="002A7079">
        <w:rPr>
          <w:sz w:val="24"/>
          <w:szCs w:val="24"/>
        </w:rPr>
        <w:t xml:space="preserve"> insbesondere den USA</w:t>
      </w:r>
      <w:r w:rsidR="007E0BD9">
        <w:rPr>
          <w:sz w:val="24"/>
          <w:szCs w:val="24"/>
        </w:rPr>
        <w:t xml:space="preserve"> unter Präsident Trump</w:t>
      </w:r>
      <w:r w:rsidR="005448F0">
        <w:rPr>
          <w:sz w:val="24"/>
          <w:szCs w:val="24"/>
        </w:rPr>
        <w:t xml:space="preserve">. </w:t>
      </w:r>
      <w:r w:rsidR="007E0BD9">
        <w:rPr>
          <w:sz w:val="24"/>
          <w:szCs w:val="24"/>
        </w:rPr>
        <w:t xml:space="preserve">Ebenfalls den Wandel unterstützend wirken sich die neuen technologischen Entwicklungen aus, die neue Waffensysteme hervorbringen und damit einer Rückkehr zum Wettrüsten Vorschub leisten. </w:t>
      </w:r>
    </w:p>
    <w:p w:rsidR="00C40A1A" w:rsidRDefault="007E0BD9" w:rsidP="001615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Auf der Basis der Rückschläge </w:t>
      </w:r>
      <w:r w:rsidR="008F668F">
        <w:rPr>
          <w:sz w:val="24"/>
          <w:szCs w:val="24"/>
        </w:rPr>
        <w:t>vertragsbasierter Ordnung bei Rüstungskontrolle und Abrüstung aus den unterschiedlichsten im Vortrag dargelegten Gründen lässt sich nach Meinung des Referenten schließen:</w:t>
      </w:r>
    </w:p>
    <w:p w:rsidR="008F668F" w:rsidRDefault="00560272" w:rsidP="0016151B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8F668F">
        <w:rPr>
          <w:sz w:val="24"/>
          <w:szCs w:val="24"/>
        </w:rPr>
        <w:t>Es besteht k</w:t>
      </w:r>
      <w:r w:rsidR="008F668F" w:rsidRPr="008F668F">
        <w:rPr>
          <w:sz w:val="24"/>
          <w:szCs w:val="24"/>
        </w:rPr>
        <w:t xml:space="preserve">ein ernsthaftes Interesse führender Staaten an einer auf </w:t>
      </w:r>
      <w:r w:rsidR="008F668F" w:rsidRPr="008F668F">
        <w:rPr>
          <w:b/>
          <w:bCs/>
          <w:sz w:val="24"/>
          <w:szCs w:val="24"/>
        </w:rPr>
        <w:t>Regeln basierenden internationalen Ordnung</w:t>
      </w:r>
      <w:r w:rsidR="008F668F" w:rsidRPr="008F668F">
        <w:rPr>
          <w:sz w:val="24"/>
          <w:szCs w:val="24"/>
        </w:rPr>
        <w:t>, sondern stattdessen "Machtkonkurrenz" als Priorität, während die verbleibende Rüstungskontrollarchitektur zerstört oder nicht weiterentwickelt wird</w:t>
      </w:r>
      <w:r>
        <w:rPr>
          <w:sz w:val="24"/>
          <w:szCs w:val="24"/>
        </w:rPr>
        <w:t>.“</w:t>
      </w:r>
    </w:p>
    <w:p w:rsidR="00285013" w:rsidRDefault="008D085B" w:rsidP="0016151B">
      <w:pPr>
        <w:jc w:val="both"/>
        <w:rPr>
          <w:sz w:val="24"/>
          <w:szCs w:val="24"/>
        </w:rPr>
      </w:pPr>
      <w:r>
        <w:rPr>
          <w:sz w:val="24"/>
          <w:szCs w:val="24"/>
        </w:rPr>
        <w:t>Angesichts der Verbreitung nukleare</w:t>
      </w:r>
      <w:r w:rsidR="00D63502">
        <w:rPr>
          <w:sz w:val="24"/>
          <w:szCs w:val="24"/>
        </w:rPr>
        <w:t>r</w:t>
      </w:r>
      <w:r w:rsidR="00FE7AF4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Waffen auf eine steigende Anzahl von Ländern kann der Einsatz von Atomwaffen nicht ausgeschlossen werden. </w:t>
      </w:r>
      <w:r w:rsidRPr="008D085B">
        <w:rPr>
          <w:sz w:val="24"/>
          <w:szCs w:val="24"/>
        </w:rPr>
        <w:t>Versehen, Fehleinschätzung, Verzweiflung oder Kalkül</w:t>
      </w:r>
      <w:r>
        <w:rPr>
          <w:sz w:val="24"/>
          <w:szCs w:val="24"/>
        </w:rPr>
        <w:t xml:space="preserve"> könnte </w:t>
      </w:r>
      <w:r w:rsidR="00CE6D8F">
        <w:rPr>
          <w:sz w:val="24"/>
          <w:szCs w:val="24"/>
        </w:rPr>
        <w:t xml:space="preserve">jederzeit </w:t>
      </w:r>
      <w:r>
        <w:rPr>
          <w:sz w:val="24"/>
          <w:szCs w:val="24"/>
        </w:rPr>
        <w:t>zum Ersteinsatz dieser in Ihrer Wirkung so schrecklichen Waffen führen</w:t>
      </w:r>
      <w:r w:rsidR="00CE6D8F">
        <w:rPr>
          <w:sz w:val="24"/>
          <w:szCs w:val="24"/>
        </w:rPr>
        <w:t xml:space="preserve">. </w:t>
      </w:r>
    </w:p>
    <w:p w:rsidR="00BD45C0" w:rsidRDefault="00BD45C0" w:rsidP="0016151B">
      <w:pPr>
        <w:jc w:val="both"/>
        <w:rPr>
          <w:sz w:val="24"/>
          <w:szCs w:val="24"/>
        </w:rPr>
      </w:pPr>
      <w:r>
        <w:rPr>
          <w:sz w:val="24"/>
          <w:szCs w:val="24"/>
        </w:rPr>
        <w:t>In der Zusammenfassung stellt Prof. Dr. Neuneck fest</w:t>
      </w:r>
      <w:r w:rsidR="00C40A1A">
        <w:rPr>
          <w:sz w:val="24"/>
          <w:szCs w:val="24"/>
        </w:rPr>
        <w:t>:</w:t>
      </w:r>
    </w:p>
    <w:p w:rsidR="0044187F" w:rsidRPr="00BD45C0" w:rsidRDefault="0044187F" w:rsidP="0016151B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BD45C0">
        <w:rPr>
          <w:sz w:val="24"/>
          <w:szCs w:val="24"/>
        </w:rPr>
        <w:t>Die Nukleararsenale der beiden nuklearen Großmächte (95% des globalen Arsenals) sind und bleiben absurd hoch</w:t>
      </w:r>
      <w:r w:rsidR="000F3582">
        <w:rPr>
          <w:sz w:val="24"/>
          <w:szCs w:val="24"/>
        </w:rPr>
        <w:t>.</w:t>
      </w:r>
      <w:r w:rsidRPr="00BD45C0">
        <w:rPr>
          <w:sz w:val="24"/>
          <w:szCs w:val="24"/>
        </w:rPr>
        <w:t xml:space="preserve"> </w:t>
      </w:r>
    </w:p>
    <w:p w:rsidR="00C40A1A" w:rsidRDefault="0044187F" w:rsidP="00C40A1A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BD45C0">
        <w:rPr>
          <w:sz w:val="24"/>
          <w:szCs w:val="24"/>
        </w:rPr>
        <w:t>Die Doktrinen der Großmächte sind Relikte des Kalten Krieges und blockieren weitere globale Rüstungskontrolle/Abrüstung</w:t>
      </w:r>
      <w:r w:rsidR="000F3582">
        <w:rPr>
          <w:sz w:val="24"/>
          <w:szCs w:val="24"/>
        </w:rPr>
        <w:t>.</w:t>
      </w:r>
    </w:p>
    <w:p w:rsidR="0044187F" w:rsidRPr="00C40A1A" w:rsidRDefault="0044187F" w:rsidP="00C40A1A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C40A1A">
        <w:rPr>
          <w:sz w:val="24"/>
          <w:szCs w:val="24"/>
        </w:rPr>
        <w:lastRenderedPageBreak/>
        <w:t>Ein qualitative</w:t>
      </w:r>
      <w:r w:rsidR="00BD45C0" w:rsidRPr="00C40A1A">
        <w:rPr>
          <w:sz w:val="24"/>
          <w:szCs w:val="24"/>
        </w:rPr>
        <w:t>s</w:t>
      </w:r>
      <w:r w:rsidRPr="00C40A1A">
        <w:rPr>
          <w:sz w:val="24"/>
          <w:szCs w:val="24"/>
        </w:rPr>
        <w:t xml:space="preserve"> Wettrüsten verschärft sich technologisch: Neue Trägersysteme im Test; eine Wiederaufnahme von Nukleartests möglich; Kriegsführungsoptionen gewinnen die Oberhand</w:t>
      </w:r>
      <w:r w:rsidR="000F3582" w:rsidRPr="00C40A1A">
        <w:rPr>
          <w:sz w:val="24"/>
          <w:szCs w:val="24"/>
        </w:rPr>
        <w:t>.</w:t>
      </w:r>
    </w:p>
    <w:p w:rsidR="0044187F" w:rsidRPr="00BD45C0" w:rsidRDefault="0044187F" w:rsidP="0016151B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BD45C0">
        <w:rPr>
          <w:sz w:val="24"/>
          <w:szCs w:val="24"/>
        </w:rPr>
        <w:t>Die lokalen Krisen Nordkorea und auch Iran verschärfen die Situation, ebenso weitere Konflikte und geben den Supermächte</w:t>
      </w:r>
      <w:r w:rsidR="00BD45C0">
        <w:rPr>
          <w:sz w:val="24"/>
          <w:szCs w:val="24"/>
        </w:rPr>
        <w:t>n</w:t>
      </w:r>
      <w:r w:rsidRPr="00BD45C0">
        <w:rPr>
          <w:sz w:val="24"/>
          <w:szCs w:val="24"/>
        </w:rPr>
        <w:t xml:space="preserve"> zusätzliche Argumente nicht abzurüsten</w:t>
      </w:r>
      <w:r w:rsidR="000F3582">
        <w:rPr>
          <w:sz w:val="24"/>
          <w:szCs w:val="24"/>
        </w:rPr>
        <w:t>.</w:t>
      </w:r>
      <w:r w:rsidRPr="00BD45C0">
        <w:rPr>
          <w:sz w:val="24"/>
          <w:szCs w:val="24"/>
        </w:rPr>
        <w:t xml:space="preserve"> </w:t>
      </w:r>
    </w:p>
    <w:p w:rsidR="00BD45C0" w:rsidRPr="00413EBE" w:rsidRDefault="0044187F" w:rsidP="0016151B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BD45C0">
        <w:rPr>
          <w:sz w:val="24"/>
          <w:szCs w:val="24"/>
        </w:rPr>
        <w:t>Russland ist unflexibel/passiv und die USA hat keine Strategie mehr, sondern populistische Tricks („</w:t>
      </w:r>
      <w:proofErr w:type="spellStart"/>
      <w:r w:rsidRPr="00BD45C0">
        <w:rPr>
          <w:sz w:val="24"/>
          <w:szCs w:val="24"/>
        </w:rPr>
        <w:t>trilateralize</w:t>
      </w:r>
      <w:proofErr w:type="spellEnd"/>
      <w:r w:rsidRPr="00BD45C0">
        <w:rPr>
          <w:sz w:val="24"/>
          <w:szCs w:val="24"/>
        </w:rPr>
        <w:t xml:space="preserve"> </w:t>
      </w:r>
      <w:proofErr w:type="spellStart"/>
      <w:r w:rsidRPr="00BD45C0">
        <w:rPr>
          <w:sz w:val="24"/>
          <w:szCs w:val="24"/>
        </w:rPr>
        <w:t>nuclear</w:t>
      </w:r>
      <w:proofErr w:type="spellEnd"/>
      <w:r w:rsidRPr="00BD45C0">
        <w:rPr>
          <w:sz w:val="24"/>
          <w:szCs w:val="24"/>
        </w:rPr>
        <w:t xml:space="preserve"> </w:t>
      </w:r>
      <w:proofErr w:type="spellStart"/>
      <w:r w:rsidRPr="00BD45C0">
        <w:rPr>
          <w:sz w:val="24"/>
          <w:szCs w:val="24"/>
        </w:rPr>
        <w:t>arms</w:t>
      </w:r>
      <w:proofErr w:type="spellEnd"/>
      <w:r w:rsidRPr="00BD45C0">
        <w:rPr>
          <w:sz w:val="24"/>
          <w:szCs w:val="24"/>
        </w:rPr>
        <w:t xml:space="preserve"> </w:t>
      </w:r>
      <w:proofErr w:type="spellStart"/>
      <w:r w:rsidRPr="00BD45C0">
        <w:rPr>
          <w:sz w:val="24"/>
          <w:szCs w:val="24"/>
        </w:rPr>
        <w:t>control</w:t>
      </w:r>
      <w:proofErr w:type="spellEnd"/>
      <w:r w:rsidRPr="00BD45C0">
        <w:rPr>
          <w:sz w:val="24"/>
          <w:szCs w:val="24"/>
        </w:rPr>
        <w:t>“)</w:t>
      </w:r>
      <w:r w:rsidR="000F3582">
        <w:rPr>
          <w:sz w:val="24"/>
          <w:szCs w:val="24"/>
        </w:rPr>
        <w:t>.</w:t>
      </w:r>
    </w:p>
    <w:p w:rsidR="00560272" w:rsidRDefault="00A92553" w:rsidP="0016151B">
      <w:pPr>
        <w:jc w:val="both"/>
        <w:rPr>
          <w:sz w:val="24"/>
          <w:szCs w:val="24"/>
        </w:rPr>
      </w:pPr>
      <w:r>
        <w:rPr>
          <w:sz w:val="24"/>
          <w:szCs w:val="24"/>
        </w:rPr>
        <w:t>Als Konsequenz sieht er folgende Empfehlungen für die politischen Handlungsträger:</w:t>
      </w:r>
    </w:p>
    <w:p w:rsidR="008E5782" w:rsidRPr="008E5782" w:rsidRDefault="008E5782" w:rsidP="0016151B">
      <w:pPr>
        <w:pStyle w:val="Listenabsatz"/>
        <w:numPr>
          <w:ilvl w:val="0"/>
          <w:numId w:val="8"/>
        </w:numPr>
        <w:jc w:val="both"/>
        <w:rPr>
          <w:sz w:val="24"/>
          <w:szCs w:val="24"/>
        </w:rPr>
      </w:pPr>
      <w:r w:rsidRPr="008E5782">
        <w:rPr>
          <w:sz w:val="24"/>
          <w:szCs w:val="24"/>
        </w:rPr>
        <w:t xml:space="preserve">Die Wiederbelebung der Rüstungskontrolle </w:t>
      </w:r>
      <w:r w:rsidR="00A92553">
        <w:rPr>
          <w:sz w:val="24"/>
          <w:szCs w:val="24"/>
        </w:rPr>
        <w:t>ist zwingend notwendig. Z</w:t>
      </w:r>
      <w:r>
        <w:rPr>
          <w:sz w:val="24"/>
          <w:szCs w:val="24"/>
        </w:rPr>
        <w:t xml:space="preserve">unächst durch Verlängerung des 2021 auslaufenden </w:t>
      </w:r>
      <w:r w:rsidRPr="008E5782">
        <w:rPr>
          <w:bCs/>
          <w:sz w:val="24"/>
          <w:szCs w:val="24"/>
        </w:rPr>
        <w:t>New-START-Vertrages</w:t>
      </w:r>
      <w:r>
        <w:rPr>
          <w:bCs/>
          <w:sz w:val="24"/>
          <w:szCs w:val="24"/>
        </w:rPr>
        <w:t xml:space="preserve"> und Nutzung der so gewonnenen Zeit für ernsthafte, strukturierte Rüstungskontrollverhandlungen zwischen Russland und den USA</w:t>
      </w:r>
      <w:r>
        <w:rPr>
          <w:sz w:val="24"/>
          <w:szCs w:val="24"/>
        </w:rPr>
        <w:t>.</w:t>
      </w:r>
    </w:p>
    <w:p w:rsidR="0044187F" w:rsidRPr="008E5782" w:rsidRDefault="007C20CE" w:rsidP="0016151B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44187F" w:rsidRPr="008E5782">
        <w:rPr>
          <w:sz w:val="24"/>
          <w:szCs w:val="24"/>
        </w:rPr>
        <w:t xml:space="preserve">ine </w:t>
      </w:r>
      <w:r w:rsidR="0044187F" w:rsidRPr="007C20CE">
        <w:rPr>
          <w:bCs/>
          <w:sz w:val="24"/>
          <w:szCs w:val="24"/>
        </w:rPr>
        <w:t>öffentliche Diskussion</w:t>
      </w:r>
      <w:r w:rsidR="0044187F" w:rsidRPr="008E5782">
        <w:rPr>
          <w:b/>
          <w:bCs/>
          <w:sz w:val="24"/>
          <w:szCs w:val="24"/>
        </w:rPr>
        <w:t xml:space="preserve"> </w:t>
      </w:r>
      <w:r w:rsidR="0044187F" w:rsidRPr="008E5782">
        <w:rPr>
          <w:sz w:val="24"/>
          <w:szCs w:val="24"/>
        </w:rPr>
        <w:t>in den NATO-Staaten über die Nuklearstrategie in Europa und über die Eskalationsrisiken durch die Stationierung neuer Atomwaffen</w:t>
      </w:r>
      <w:r>
        <w:rPr>
          <w:sz w:val="24"/>
          <w:szCs w:val="24"/>
        </w:rPr>
        <w:t>.</w:t>
      </w:r>
    </w:p>
    <w:p w:rsidR="0044187F" w:rsidRDefault="007C20CE" w:rsidP="0016151B">
      <w:pPr>
        <w:numPr>
          <w:ilvl w:val="0"/>
          <w:numId w:val="8"/>
        </w:numPr>
        <w:jc w:val="both"/>
        <w:rPr>
          <w:sz w:val="24"/>
          <w:szCs w:val="24"/>
        </w:rPr>
      </w:pPr>
      <w:r w:rsidRPr="007C20CE">
        <w:rPr>
          <w:bCs/>
          <w:sz w:val="24"/>
          <w:szCs w:val="24"/>
        </w:rPr>
        <w:t>Verzicht auf</w:t>
      </w:r>
      <w:r w:rsidR="0044187F" w:rsidRPr="007C20CE">
        <w:rPr>
          <w:bCs/>
          <w:sz w:val="24"/>
          <w:szCs w:val="24"/>
        </w:rPr>
        <w:t xml:space="preserve"> Stationierung neuer nuklearer Trägersysteme</w:t>
      </w:r>
      <w:r w:rsidR="0044187F" w:rsidRPr="008E5782">
        <w:rPr>
          <w:b/>
          <w:bCs/>
          <w:sz w:val="24"/>
          <w:szCs w:val="24"/>
        </w:rPr>
        <w:t xml:space="preserve"> </w:t>
      </w:r>
      <w:r w:rsidR="0044187F" w:rsidRPr="008E5782">
        <w:rPr>
          <w:sz w:val="24"/>
          <w:szCs w:val="24"/>
        </w:rPr>
        <w:t>auf europäischem Boden   solange sich alle Seiten nachprüfbar an den Status Quo halten</w:t>
      </w:r>
      <w:r>
        <w:rPr>
          <w:sz w:val="24"/>
          <w:szCs w:val="24"/>
        </w:rPr>
        <w:t>.</w:t>
      </w:r>
      <w:r w:rsidR="0044187F" w:rsidRPr="008E57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Parallel dazu </w:t>
      </w:r>
      <w:r w:rsidR="0044187F" w:rsidRPr="007C20CE">
        <w:rPr>
          <w:bCs/>
          <w:sz w:val="24"/>
          <w:szCs w:val="24"/>
        </w:rPr>
        <w:t>Verhandlungen</w:t>
      </w:r>
      <w:r w:rsidR="0044187F" w:rsidRPr="007C20CE">
        <w:rPr>
          <w:sz w:val="24"/>
          <w:szCs w:val="24"/>
        </w:rPr>
        <w:t xml:space="preserve"> </w:t>
      </w:r>
      <w:r w:rsidR="0044187F" w:rsidRPr="008E5782">
        <w:rPr>
          <w:sz w:val="24"/>
          <w:szCs w:val="24"/>
        </w:rPr>
        <w:t>unter Einbeziehung der Europäer über den überprüfbaren Abzug und die Zerstörung taktischer Atomwaffen in Europa sowie die Fortsetzung der konventionellen Rüstungskontrolle</w:t>
      </w:r>
      <w:r>
        <w:rPr>
          <w:sz w:val="24"/>
          <w:szCs w:val="24"/>
        </w:rPr>
        <w:t>.</w:t>
      </w:r>
    </w:p>
    <w:p w:rsidR="00A92553" w:rsidRDefault="00A92553" w:rsidP="0016151B">
      <w:pPr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Erreichen</w:t>
      </w:r>
      <w:proofErr w:type="gramEnd"/>
      <w:r>
        <w:rPr>
          <w:sz w:val="24"/>
          <w:szCs w:val="24"/>
        </w:rPr>
        <w:t xml:space="preserve"> einer öffentlichen Erklärung der 5 ständigen Mitgliedsstaaten im UN-Sicherheitsrat</w:t>
      </w:r>
      <w:r w:rsidR="00834F12">
        <w:rPr>
          <w:sz w:val="24"/>
          <w:szCs w:val="24"/>
        </w:rPr>
        <w:t>,</w:t>
      </w:r>
      <w:r>
        <w:rPr>
          <w:sz w:val="24"/>
          <w:szCs w:val="24"/>
        </w:rPr>
        <w:t xml:space="preserve"> dass ein Atomkrieg nicht gewonnen werden kann und daher niemals geführt werden darf. Durch die Diskussion Hinführung zu einem strukturierten Dialog über Bedrohungen durch neue Atomwaffen und neue Technologien.</w:t>
      </w:r>
    </w:p>
    <w:p w:rsidR="00A92553" w:rsidRPr="00A92553" w:rsidRDefault="00A92553" w:rsidP="0016151B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Völkerrechtliche Ächtung des Einsatzes von Atomwaffen aufgrund seiner katastrophalen Konsequenzen.</w:t>
      </w:r>
    </w:p>
    <w:p w:rsidR="00A92553" w:rsidRPr="00A92553" w:rsidRDefault="00A92553" w:rsidP="0016151B">
      <w:pPr>
        <w:pStyle w:val="Listenabsatz"/>
        <w:numPr>
          <w:ilvl w:val="0"/>
          <w:numId w:val="8"/>
        </w:numPr>
        <w:jc w:val="both"/>
        <w:rPr>
          <w:sz w:val="24"/>
          <w:szCs w:val="24"/>
        </w:rPr>
      </w:pPr>
      <w:r w:rsidRPr="00A92553">
        <w:rPr>
          <w:sz w:val="24"/>
          <w:szCs w:val="24"/>
        </w:rPr>
        <w:t xml:space="preserve">Bezüglich der Einführung neuer Trägersysteme (strategischer Marschflugkörper, Überschallflugkörper, </w:t>
      </w:r>
      <w:r w:rsidR="00F83BB1">
        <w:rPr>
          <w:sz w:val="24"/>
          <w:szCs w:val="24"/>
        </w:rPr>
        <w:t>Kampfdrohnen</w:t>
      </w:r>
      <w:r w:rsidRPr="00A92553">
        <w:rPr>
          <w:sz w:val="24"/>
          <w:szCs w:val="24"/>
        </w:rPr>
        <w:t xml:space="preserve">) sollte </w:t>
      </w:r>
      <w:r w:rsidRPr="00A92553">
        <w:rPr>
          <w:bCs/>
          <w:sz w:val="24"/>
          <w:szCs w:val="24"/>
        </w:rPr>
        <w:t>ein Verbot nuklearbestückter Systeme</w:t>
      </w:r>
      <w:r w:rsidRPr="00A92553">
        <w:rPr>
          <w:b/>
          <w:bCs/>
          <w:sz w:val="24"/>
          <w:szCs w:val="24"/>
        </w:rPr>
        <w:t xml:space="preserve"> </w:t>
      </w:r>
      <w:r w:rsidRPr="00A92553">
        <w:rPr>
          <w:sz w:val="24"/>
          <w:szCs w:val="24"/>
        </w:rPr>
        <w:t>verhandelt und verifizierbar umgesetzt werden.</w:t>
      </w:r>
    </w:p>
    <w:p w:rsidR="00A92553" w:rsidRDefault="00A92553" w:rsidP="0016151B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Verifikation ist der Schlüssel für all diese Maßnahmen. Vertrauensbildung durch Informationsaustausch über Erprobung und Einsatz, Demonstration/Ausstellung, Zertifizierung nuklearer Sprengköpfe für Trägersysteme etc. sind deshalb auf allen Seiten zu erreichen.</w:t>
      </w:r>
    </w:p>
    <w:p w:rsidR="007506B4" w:rsidRDefault="00A92553" w:rsidP="0016151B">
      <w:pPr>
        <w:numPr>
          <w:ilvl w:val="0"/>
          <w:numId w:val="8"/>
        </w:numPr>
        <w:jc w:val="both"/>
        <w:rPr>
          <w:sz w:val="24"/>
          <w:szCs w:val="24"/>
        </w:rPr>
      </w:pPr>
      <w:r w:rsidRPr="00A92553">
        <w:rPr>
          <w:sz w:val="24"/>
          <w:szCs w:val="24"/>
        </w:rPr>
        <w:t xml:space="preserve">Auch </w:t>
      </w:r>
      <w:r w:rsidRPr="00A92553">
        <w:rPr>
          <w:bCs/>
          <w:sz w:val="24"/>
          <w:szCs w:val="24"/>
        </w:rPr>
        <w:t>konventionelle Waffenanwendung im Weltraum</w:t>
      </w:r>
      <w:r w:rsidRPr="00A92553">
        <w:rPr>
          <w:b/>
          <w:bCs/>
          <w:sz w:val="24"/>
          <w:szCs w:val="24"/>
        </w:rPr>
        <w:t xml:space="preserve"> </w:t>
      </w:r>
      <w:r w:rsidRPr="00A92553">
        <w:rPr>
          <w:sz w:val="24"/>
          <w:szCs w:val="24"/>
        </w:rPr>
        <w:t>sollte verboten werden. Der Weltraumvertrag von 1967 besagt, dass es ein gemeinsames Interesse der gesamten</w:t>
      </w:r>
      <w:r w:rsidR="00285013">
        <w:rPr>
          <w:sz w:val="24"/>
          <w:szCs w:val="24"/>
        </w:rPr>
        <w:t xml:space="preserve"> </w:t>
      </w:r>
      <w:r w:rsidRPr="00A92553">
        <w:rPr>
          <w:sz w:val="24"/>
          <w:szCs w:val="24"/>
        </w:rPr>
        <w:t>Menschheit ist, den Weltraum fortschreitend zu friedlichen Zwecken zu erforschen und zu nutzen.</w:t>
      </w:r>
    </w:p>
    <w:p w:rsidR="003E2E25" w:rsidRDefault="003E2E25" w:rsidP="003E2E2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Bildunterzeile (von links): Josef Schmidhofer, Prof. Dr. Götz Neuneck</w:t>
      </w:r>
    </w:p>
    <w:p w:rsidR="00A92553" w:rsidRPr="00A92553" w:rsidRDefault="00A92553" w:rsidP="007506B4">
      <w:pPr>
        <w:ind w:left="720"/>
        <w:jc w:val="both"/>
        <w:rPr>
          <w:sz w:val="24"/>
          <w:szCs w:val="24"/>
        </w:rPr>
      </w:pPr>
      <w:r w:rsidRPr="00A92553">
        <w:rPr>
          <w:sz w:val="24"/>
          <w:szCs w:val="24"/>
        </w:rPr>
        <w:lastRenderedPageBreak/>
        <w:t xml:space="preserve"> </w:t>
      </w:r>
    </w:p>
    <w:sectPr w:rsidR="00A92553" w:rsidRPr="00A92553" w:rsidSect="003E2E25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FBC"/>
    <w:multiLevelType w:val="hybridMultilevel"/>
    <w:tmpl w:val="48FEBA90"/>
    <w:lvl w:ilvl="0" w:tplc="A2844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44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27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365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BC8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3AF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E9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ACF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8C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5D7AEE"/>
    <w:multiLevelType w:val="hybridMultilevel"/>
    <w:tmpl w:val="B7D87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C7ADE"/>
    <w:multiLevelType w:val="hybridMultilevel"/>
    <w:tmpl w:val="DA00BD38"/>
    <w:lvl w:ilvl="0" w:tplc="BF383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444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02D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B42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605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0C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A4F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06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800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11C2B5A"/>
    <w:multiLevelType w:val="hybridMultilevel"/>
    <w:tmpl w:val="ADEA7FCC"/>
    <w:lvl w:ilvl="0" w:tplc="26E44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AF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63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8A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D66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9CD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4F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8D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466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5593104"/>
    <w:multiLevelType w:val="hybridMultilevel"/>
    <w:tmpl w:val="4692AA4C"/>
    <w:lvl w:ilvl="0" w:tplc="9E689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22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166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A0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E0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AA9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C4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64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0F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7875788"/>
    <w:multiLevelType w:val="hybridMultilevel"/>
    <w:tmpl w:val="6F241FBE"/>
    <w:lvl w:ilvl="0" w:tplc="1F6AA8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70212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EC31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802585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AC440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AB1C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F36889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D864C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32A4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79D40D29"/>
    <w:multiLevelType w:val="hybridMultilevel"/>
    <w:tmpl w:val="03C26C80"/>
    <w:lvl w:ilvl="0" w:tplc="D7E61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682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29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E49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C82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20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C5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261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01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F287882"/>
    <w:multiLevelType w:val="hybridMultilevel"/>
    <w:tmpl w:val="2C56598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7A80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1CB79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5DC84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9E2F5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C0F7F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0FEED7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B28F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14A4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F1"/>
    <w:rsid w:val="000C556F"/>
    <w:rsid w:val="000F3582"/>
    <w:rsid w:val="0016151B"/>
    <w:rsid w:val="002338E1"/>
    <w:rsid w:val="00285013"/>
    <w:rsid w:val="002A7079"/>
    <w:rsid w:val="00385813"/>
    <w:rsid w:val="003D3A63"/>
    <w:rsid w:val="003E2E25"/>
    <w:rsid w:val="00413EBE"/>
    <w:rsid w:val="0044187F"/>
    <w:rsid w:val="004B746A"/>
    <w:rsid w:val="00533FB9"/>
    <w:rsid w:val="005448F0"/>
    <w:rsid w:val="00560272"/>
    <w:rsid w:val="005B4F32"/>
    <w:rsid w:val="007272F1"/>
    <w:rsid w:val="007506B4"/>
    <w:rsid w:val="007C20CE"/>
    <w:rsid w:val="007E0BD9"/>
    <w:rsid w:val="00834F12"/>
    <w:rsid w:val="008D085B"/>
    <w:rsid w:val="008D0CF2"/>
    <w:rsid w:val="008E5782"/>
    <w:rsid w:val="008F668F"/>
    <w:rsid w:val="009A3606"/>
    <w:rsid w:val="00A718F4"/>
    <w:rsid w:val="00A82CD3"/>
    <w:rsid w:val="00A92553"/>
    <w:rsid w:val="00B95673"/>
    <w:rsid w:val="00BD45C0"/>
    <w:rsid w:val="00C40A1A"/>
    <w:rsid w:val="00CE6D8F"/>
    <w:rsid w:val="00D0768B"/>
    <w:rsid w:val="00D63502"/>
    <w:rsid w:val="00DF2FE2"/>
    <w:rsid w:val="00ED3B67"/>
    <w:rsid w:val="00F83BB1"/>
    <w:rsid w:val="00F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D07B"/>
  <w15:chartTrackingRefBased/>
  <w15:docId w15:val="{0715F0BD-FE1B-4DCB-B090-DBCE616A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4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574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7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3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460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0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1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8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600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286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545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C5BA0-303F-4C27-9367-9F59AD05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</dc:creator>
  <cp:keywords/>
  <dc:description/>
  <cp:lastModifiedBy>Besitzer</cp:lastModifiedBy>
  <cp:revision>9</cp:revision>
  <cp:lastPrinted>2020-09-14T11:37:00Z</cp:lastPrinted>
  <dcterms:created xsi:type="dcterms:W3CDTF">2020-09-14T11:36:00Z</dcterms:created>
  <dcterms:modified xsi:type="dcterms:W3CDTF">2020-09-16T11:41:00Z</dcterms:modified>
</cp:coreProperties>
</file>